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FA4A63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FA4A63" w:rsidRDefault="006866A9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:rsidR="00FA4A63" w:rsidRDefault="006866A9">
            <w:pPr>
              <w:spacing w:after="0" w:line="240" w:lineRule="auto"/>
            </w:pPr>
            <w:r>
              <w:t>31384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FA4A63" w:rsidRDefault="006866A9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:rsidR="00FA4A63" w:rsidRDefault="006866A9">
            <w:pPr>
              <w:spacing w:after="0" w:line="240" w:lineRule="auto"/>
            </w:pPr>
            <w:r>
              <w:t>HRVATSKO NARODNO KAZALIŠTE U VARAŽDINU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FA4A63" w:rsidRDefault="006866A9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:rsidR="00FA4A63" w:rsidRDefault="006866A9">
            <w:pPr>
              <w:spacing w:after="0" w:line="240" w:lineRule="auto"/>
            </w:pPr>
            <w:r>
              <w:t>21</w:t>
            </w:r>
          </w:p>
        </w:tc>
      </w:tr>
    </w:tbl>
    <w:p w:rsidR="00FA4A63" w:rsidRDefault="006866A9">
      <w:r>
        <w:br/>
      </w:r>
    </w:p>
    <w:p w:rsidR="00FA4A63" w:rsidRDefault="006866A9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:rsidR="00FA4A63" w:rsidRDefault="006866A9">
      <w:pPr>
        <w:spacing w:line="240" w:lineRule="auto"/>
        <w:jc w:val="center"/>
      </w:pPr>
      <w:r>
        <w:rPr>
          <w:b/>
          <w:sz w:val="28"/>
        </w:rPr>
        <w:t>ZA RAZDOBLJE</w:t>
      </w:r>
    </w:p>
    <w:p w:rsidR="00FA4A63" w:rsidRDefault="006866A9">
      <w:pPr>
        <w:spacing w:line="240" w:lineRule="auto"/>
        <w:jc w:val="center"/>
      </w:pPr>
      <w:r>
        <w:rPr>
          <w:b/>
          <w:sz w:val="28"/>
        </w:rPr>
        <w:t>I - XII 2025.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3.220.310,93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3.729.191,87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115,8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2.642.604,65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3.316.365,51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125,5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FA4A6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577.706,28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412.826,36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71,5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581.749,49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413.690,30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71,1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FA4A6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581.613,16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413.553,97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71,1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FA4A6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FA4A6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3.906,88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727,61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18,6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U razdoblju od 01. siječnja do 31. prosinca 2025. godine prihodi poslovanja ostvareni su u iznosu od 3.729.191,87 </w:t>
      </w:r>
      <w:proofErr w:type="spellStart"/>
      <w:r>
        <w:t>eur</w:t>
      </w:r>
      <w:proofErr w:type="spellEnd"/>
      <w:r>
        <w:t xml:space="preserve">. Najznačajnije povećanje prihoda poslovanja su tekuće pomoći proračunskim korisnicima iz proračuna koji im nije nadležan, prihodi iz nadležnog proračuna za financiranje rashoda poslovanja, ostali nespomenuti prihodi i prihodi od pruženih usluga. Rashodi poslovanja ostvareni su u iznosu 3.316.365,51 </w:t>
      </w:r>
      <w:proofErr w:type="spellStart"/>
      <w:r>
        <w:t>eur</w:t>
      </w:r>
      <w:proofErr w:type="spellEnd"/>
      <w:r>
        <w:t xml:space="preserve">. Najznačajnije povećanje rashoda </w:t>
      </w:r>
      <w:r>
        <w:lastRenderedPageBreak/>
        <w:t xml:space="preserve">evidentirano je na rashodima za zaposlene zbog povećanja koeficijenata i osnovice za plaću, materijalnim rashodima, rashodima za usluge, naknade troškova osobama izvan radnog odnosa i ostali nespomenuti rashodi poslovanja zbog većeg broja programa, većeg ulaganja u nove predstave, većeg broja gostovanja i sudjelovanja na festivalima u zemlji i inozemstvu. Prihod od prodaje nefinancijske imovine ostvaren je u iznosu 136,33 </w:t>
      </w:r>
      <w:proofErr w:type="spellStart"/>
      <w:r>
        <w:t>eur</w:t>
      </w:r>
      <w:proofErr w:type="spellEnd"/>
      <w:r>
        <w:t xml:space="preserve">, a rashodi za nabavu nefinancijske imovine ostvareni su u iznosu 413.690,30 </w:t>
      </w:r>
      <w:proofErr w:type="spellStart"/>
      <w:r>
        <w:t>eur</w:t>
      </w:r>
      <w:proofErr w:type="spellEnd"/>
      <w:r>
        <w:t xml:space="preserve">. U navedenom razdoblju nije bilo ostvarenih primitaka i izdataka od financijske imovine i zaduživanja. U 2025. godini ostvaren je višak prihoda poslovanja u iznosu 412.826,36 </w:t>
      </w:r>
      <w:proofErr w:type="spellStart"/>
      <w:r>
        <w:t>eur</w:t>
      </w:r>
      <w:proofErr w:type="spellEnd"/>
      <w:r>
        <w:t xml:space="preserve"> i njime se pokriva tekući manjak od nefinancijske imovine u iznosu 413.553,97 </w:t>
      </w:r>
      <w:proofErr w:type="spellStart"/>
      <w:r>
        <w:t>eur</w:t>
      </w:r>
      <w:proofErr w:type="spellEnd"/>
      <w:r>
        <w:t xml:space="preserve">, slijedom čega je ostvaren manjak prihoda i primitaka u iznosu 727,61 </w:t>
      </w:r>
      <w:proofErr w:type="spellStart"/>
      <w:r>
        <w:t>eur</w:t>
      </w:r>
      <w:proofErr w:type="spellEnd"/>
      <w:r>
        <w:t>. </w:t>
      </w:r>
    </w:p>
    <w:p w:rsidR="00FA4A63" w:rsidRDefault="006866A9">
      <w:r>
        <w:br/>
      </w:r>
    </w:p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proračunskim korisnicima iz proračuna koji im nije nadležan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229.554,65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366.902,97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159,8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U 2025. godini su po ugovoru od Ministarstva kulture i medija RH dodijeljena veća sredstva za gostovanja predstava, koprodukcija i izvedbi koprodukcija u okviru projekta konzorcij Hrvatskih nacionalnih kazališta.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209.766,25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245.075,74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116,8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U 2025. godini veći su prihodi od prodanih ulaznica zbog većeg posjeta na predstavama.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pruženih usluga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232.291,07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268.749,19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115,7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U 2025. godini prihodi su veći zbog više ugovorenih sponzorskih ugovora i većeg broja privremenog korištenja prostora u zgradi HNK.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2.071.845,41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2.483.333,95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119,9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U 2025. godini prihodi su veći zbog povećanja osnovice i koeficijenata za plaće i većih sredstava za programsku djelatnost.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1.354.127,61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1.673.574,89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123,6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U 2025. g. prihodi su veći zbog povećanja osnovice i koeficijenata za plaće.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113.962,42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189.022,04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165,9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U 2025.g. na tom se računu knjiže i Ostale naknade troškova zaposlenima (račun 3214).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Službena putovanja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77.038,02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87.761,62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113,9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broja gostovanja u zemlji i inozemstvu.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lastRenderedPageBreak/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troškova zaposlenima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85.908,67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U 2025.g knjiženja su vršena na računu 312 Ostali rashodi za zaposlene.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sirovine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62.497,31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77.391,27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123,8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ulaganja u premijere i to u scenu, kostime i rekvizitu.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dijelovi za tekuće i investicijsko održavanje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4.425,65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5.962,91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134,7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investicijskog održavanja opreme.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Sitni inventar i </w:t>
            </w:r>
            <w:proofErr w:type="spellStart"/>
            <w:r>
              <w:rPr>
                <w:sz w:val="18"/>
              </w:rPr>
              <w:t>autogume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21.374,99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27.148,68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127,0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kupovanja tkanina za šivanje kostima za premijere.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lastRenderedPageBreak/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Usluge telefona, </w:t>
            </w:r>
            <w:proofErr w:type="spellStart"/>
            <w:r>
              <w:rPr>
                <w:sz w:val="18"/>
              </w:rPr>
              <w:t>interneta</w:t>
            </w:r>
            <w:proofErr w:type="spellEnd"/>
            <w:r>
              <w:rPr>
                <w:sz w:val="18"/>
              </w:rPr>
              <w:t>, pošte i prijevoza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47.445,97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75.904,58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160,0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broja prijevoza autobusa i kamiona potrebnih za gostovanja sa predstavama.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promidžbe i informiranja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24.676,35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30.921,74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125,3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broja oglašavanja i reklamiranja premijera, predstava i gostovanja.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Zakupnine i najamnine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12.567,39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22.307,60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177,5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broja najma kombija koji je potreban za gostovanja.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272.733,54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464.598,30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170,3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broja angažiranih vanjskih suradnika iz zemlje i inozemstva na novim predstavama i koprodukcijama.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lastRenderedPageBreak/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osobama izvan radnog odnosa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12.773,31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27.621,11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216,2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broja noćenja i službenog puta vanjskih suradnika.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14.293,38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22.379,44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156,6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Bilježi se porast zbog većeg broja programa i gostovanja. 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Uređaji, strojevi i oprema za ostale namjene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121.589,22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204.280,92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168,0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Bilježi se porast jer su u ovoj godini nabavljeni stolci za lože, projektor i projekcijsko platno, opremljena je ton kabina, kupljeni su paneli za Dvoranu </w:t>
      </w:r>
      <w:proofErr w:type="spellStart"/>
      <w:r>
        <w:t>Veček</w:t>
      </w:r>
      <w:proofErr w:type="spellEnd"/>
      <w:r>
        <w:t xml:space="preserve">, dim mašine, monitori za </w:t>
      </w:r>
      <w:proofErr w:type="spellStart"/>
      <w:r>
        <w:t>cugove</w:t>
      </w:r>
      <w:proofErr w:type="spellEnd"/>
      <w:r>
        <w:t xml:space="preserve"> i ostala oprema potrebna za redovno poslovanje.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411.646,23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209.409,38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50,9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U ovoj godini izvršeni su radovi, isporuka i ugradnja motoriziranih </w:t>
      </w:r>
      <w:proofErr w:type="spellStart"/>
      <w:r>
        <w:t>uzvlaka</w:t>
      </w:r>
      <w:proofErr w:type="spellEnd"/>
      <w:r>
        <w:t xml:space="preserve"> i rekonstrukcija rasvjetnog mosta.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lastRenderedPageBreak/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FA4A6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110.757,91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111.485,52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100,7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Manjak prihoda i primitaka u iznosu 727,61 </w:t>
      </w:r>
      <w:proofErr w:type="spellStart"/>
      <w:r>
        <w:t>eur</w:t>
      </w:r>
      <w:proofErr w:type="spellEnd"/>
      <w:r>
        <w:t xml:space="preserve"> uvećan je za preneseni manjak u iznosu 110.757,91 </w:t>
      </w:r>
      <w:proofErr w:type="spellStart"/>
      <w:r>
        <w:t>eur</w:t>
      </w:r>
      <w:proofErr w:type="spellEnd"/>
      <w:r>
        <w:t xml:space="preserve"> i ukupno čine manjak za pokriće u slijedećem razdoblju u iznosu 111.485,52 </w:t>
      </w:r>
      <w:proofErr w:type="spellStart"/>
      <w:r>
        <w:t>eur</w:t>
      </w:r>
      <w:proofErr w:type="spellEnd"/>
      <w:r>
        <w:t xml:space="preserve">. Manjak prihoda iz proračuna Grada ostvaren je u iznosu 207.037,56 </w:t>
      </w:r>
      <w:proofErr w:type="spellStart"/>
      <w:r>
        <w:t>eur</w:t>
      </w:r>
      <w:proofErr w:type="spellEnd"/>
      <w:r>
        <w:t xml:space="preserve"> kao metodološki manjak koji proizlazi iz primjene modificiranog načela nastanka događaja, a na vlastitim prihodima ostvareni je višak u iznosu 95.552,04 </w:t>
      </w:r>
      <w:proofErr w:type="spellStart"/>
      <w:r>
        <w:t>eur</w:t>
      </w:r>
      <w:proofErr w:type="spellEnd"/>
      <w:r>
        <w:t>. 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Proizvedena dugotrajna imovina (šifre '021 i 02921' + '022 i 02922' + '023 i 02923' + '024 i 02924' + '025 i 02925' + '026 i 02926')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5.202.721,28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5.480.396,22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105,3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Proizvedena dugotrajna imovina tijekom 2025. godine povećala se za vrijednost dodatnog ulaganja u zgradu i za nabavu opreme.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Novac u banci i blagajni (šifre 111+112 do 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161.047,88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131.057,28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81,4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Ukupan novac u banci i blagajni iznosi 131.057,28 </w:t>
      </w:r>
      <w:proofErr w:type="spellStart"/>
      <w:r>
        <w:t>eur</w:t>
      </w:r>
      <w:proofErr w:type="spellEnd"/>
      <w:r>
        <w:t xml:space="preserve">, na računu je 130.682,38 </w:t>
      </w:r>
      <w:proofErr w:type="spellStart"/>
      <w:r>
        <w:t>eur</w:t>
      </w:r>
      <w:proofErr w:type="spellEnd"/>
      <w:r>
        <w:t xml:space="preserve">, a u blagajni 374,90 </w:t>
      </w:r>
      <w:proofErr w:type="spellStart"/>
      <w:r>
        <w:t>eur</w:t>
      </w:r>
      <w:proofErr w:type="spellEnd"/>
      <w:r>
        <w:t>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lastRenderedPageBreak/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Ostala potraživanja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2.203,20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>Potraživanje se odnosi na refundaciju bolovanja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 (šifre 161 do 163 + 164 do 168-169)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8.082,49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14.495,69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179,3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Potraživanja za prihode poslovanja iznose 14.495,69 </w:t>
      </w:r>
      <w:proofErr w:type="spellStart"/>
      <w:r>
        <w:t>eur</w:t>
      </w:r>
      <w:proofErr w:type="spellEnd"/>
      <w:r>
        <w:t xml:space="preserve">, a sastoje se od dospjelih potraživanja u iznosu 2.616,38 </w:t>
      </w:r>
      <w:proofErr w:type="spellStart"/>
      <w:r>
        <w:t>eur</w:t>
      </w:r>
      <w:proofErr w:type="spellEnd"/>
      <w:r>
        <w:t xml:space="preserve"> i nedospjelih potraživanja u iznosu 11.879,31 </w:t>
      </w:r>
      <w:proofErr w:type="spellStart"/>
      <w:r>
        <w:t>eur</w:t>
      </w:r>
      <w:proofErr w:type="spellEnd"/>
      <w:r>
        <w:t xml:space="preserve"> koja dospijevaju na naplatu u siječnju.</w:t>
      </w:r>
      <w:bookmarkStart w:id="0" w:name="_GoBack"/>
      <w:bookmarkEnd w:id="0"/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(šifre 23+24+25+26+27+29)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267.459,08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240.399,29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89,9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Obveze iznose 240.399,29 </w:t>
      </w:r>
      <w:proofErr w:type="spellStart"/>
      <w:r>
        <w:t>eur</w:t>
      </w:r>
      <w:proofErr w:type="spellEnd"/>
      <w:r>
        <w:t xml:space="preserve">, a odnose se na plaću za 12 mjesec 2025. g. u iznosu 185.147,88 </w:t>
      </w:r>
      <w:proofErr w:type="spellStart"/>
      <w:r>
        <w:t>eur</w:t>
      </w:r>
      <w:proofErr w:type="spellEnd"/>
      <w:r>
        <w:t xml:space="preserve">, materijalne rashode u iznosu 29.629,93 </w:t>
      </w:r>
      <w:proofErr w:type="spellStart"/>
      <w:r>
        <w:t>eur</w:t>
      </w:r>
      <w:proofErr w:type="spellEnd"/>
      <w:r>
        <w:t xml:space="preserve">, ostale financijske rashode u iznosu 182,71 </w:t>
      </w:r>
      <w:proofErr w:type="spellStart"/>
      <w:r>
        <w:t>eur</w:t>
      </w:r>
      <w:proofErr w:type="spellEnd"/>
      <w:r>
        <w:t xml:space="preserve">, ostale tekuće obveze u iznosu 4.609,63 </w:t>
      </w:r>
      <w:proofErr w:type="spellStart"/>
      <w:r>
        <w:t>eur</w:t>
      </w:r>
      <w:proofErr w:type="spellEnd"/>
      <w:r>
        <w:t xml:space="preserve">, obveze za nabavu nefinancijske imovine u iznosu 3.428,49 </w:t>
      </w:r>
      <w:proofErr w:type="spellStart"/>
      <w:r>
        <w:t>eur</w:t>
      </w:r>
      <w:proofErr w:type="spellEnd"/>
      <w:r>
        <w:t xml:space="preserve">, obveze za predujmove u iznosu 270,24 i naplaćene prihode budućih razdoblja u iznosu 17.130,41 </w:t>
      </w:r>
      <w:proofErr w:type="spellStart"/>
      <w:r>
        <w:t>eur</w:t>
      </w:r>
      <w:proofErr w:type="spellEnd"/>
      <w:r>
        <w:t>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-110.757,91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-111.485,52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100,7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Tijekom 2025. g. evidentirani su na razredu 6 iznosi koji su utrošeni za nabavu nefinancijske imovine. Podaci u bilanci glavne knjige iskazani su nakon provedene korekcije rezultata </w:t>
      </w:r>
      <w:r>
        <w:lastRenderedPageBreak/>
        <w:t xml:space="preserve">sukladno Pravilniku o proračunskom računovodstvu. Višak prihoda poslovanja iznosi 425.728,48 </w:t>
      </w:r>
      <w:proofErr w:type="spellStart"/>
      <w:r>
        <w:t>eur</w:t>
      </w:r>
      <w:proofErr w:type="spellEnd"/>
      <w:r>
        <w:t xml:space="preserve">, manjak prihoda od nefinancijske imovine iznosi 537.214,00 </w:t>
      </w:r>
      <w:proofErr w:type="spellStart"/>
      <w:r>
        <w:t>eur</w:t>
      </w:r>
      <w:proofErr w:type="spellEnd"/>
      <w:r>
        <w:t xml:space="preserve">, te rezultat/manjak prihoda iznosi 111.485,52 </w:t>
      </w:r>
      <w:proofErr w:type="spellStart"/>
      <w:r>
        <w:t>eur</w:t>
      </w:r>
      <w:proofErr w:type="spellEnd"/>
      <w:r>
        <w:t>.</w:t>
      </w:r>
    </w:p>
    <w:p w:rsidR="00FA4A63" w:rsidRDefault="00FA4A63"/>
    <w:p w:rsidR="00FA4A63" w:rsidRDefault="006866A9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:rsidR="00FA4A63" w:rsidRDefault="006866A9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FA4A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A4A6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FA4A6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270,24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FA4A63" w:rsidRDefault="006866A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FA4A63" w:rsidRDefault="00FA4A63">
      <w:pPr>
        <w:spacing w:after="0"/>
      </w:pPr>
    </w:p>
    <w:p w:rsidR="00FA4A63" w:rsidRDefault="006866A9">
      <w:r>
        <w:t xml:space="preserve">Stanje dospjelih obveza na kraju izvještajnog razdoblja iznose 270,24 </w:t>
      </w:r>
      <w:proofErr w:type="spellStart"/>
      <w:r>
        <w:t>eur</w:t>
      </w:r>
      <w:proofErr w:type="spellEnd"/>
      <w:r>
        <w:t>, a odnose se na obveze proračunskih korisnika za povrat u proračun bolovanje- na teret HZZO</w:t>
      </w:r>
    </w:p>
    <w:p w:rsidR="00FA4A63" w:rsidRDefault="00FA4A63"/>
    <w:sectPr w:rsidR="00FA4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4A63"/>
    <w:rsid w:val="006866A9"/>
    <w:rsid w:val="00F22F1E"/>
    <w:rsid w:val="00FA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HNK Varaždin</cp:lastModifiedBy>
  <cp:revision>3</cp:revision>
  <dcterms:created xsi:type="dcterms:W3CDTF">2026-02-02T11:06:00Z</dcterms:created>
  <dcterms:modified xsi:type="dcterms:W3CDTF">2026-02-02T11:17:00Z</dcterms:modified>
</cp:coreProperties>
</file>